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4660"/>
        <w:gridCol w:w="3274"/>
        <w:gridCol w:w="766"/>
        <w:gridCol w:w="2020"/>
        <w:gridCol w:w="1680"/>
        <w:gridCol w:w="1200"/>
      </w:tblGrid>
      <w:tr w:rsidR="00006BFC" w:rsidRPr="00006BFC" w:rsidTr="00006BFC">
        <w:trPr>
          <w:gridAfter w:val="4"/>
          <w:wAfter w:w="5666" w:type="dxa"/>
          <w:trHeight w:val="510"/>
        </w:trPr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O.P.D. Servicios de Salud Jalisco</w:t>
            </w:r>
          </w:p>
        </w:tc>
      </w:tr>
      <w:tr w:rsidR="00006BFC" w:rsidRPr="00006BFC" w:rsidTr="00006BFC">
        <w:trPr>
          <w:gridAfter w:val="4"/>
          <w:wAfter w:w="5666" w:type="dxa"/>
          <w:trHeight w:val="510"/>
        </w:trPr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Principales Causas de Morbilidad General, Enfermedades de Notificación Obligatoria</w:t>
            </w:r>
          </w:p>
        </w:tc>
      </w:tr>
      <w:tr w:rsidR="00006BFC" w:rsidRPr="00006BFC" w:rsidTr="00006BFC">
        <w:trPr>
          <w:gridAfter w:val="4"/>
          <w:wAfter w:w="5666" w:type="dxa"/>
          <w:trHeight w:val="510"/>
        </w:trPr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Jalisco</w:t>
            </w:r>
          </w:p>
        </w:tc>
      </w:tr>
      <w:tr w:rsidR="00006BFC" w:rsidRPr="00006BFC" w:rsidTr="00006BFC">
        <w:trPr>
          <w:gridAfter w:val="4"/>
          <w:wAfter w:w="5666" w:type="dxa"/>
          <w:trHeight w:val="510"/>
        </w:trPr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  <w:t>2 0 1 6</w:t>
            </w:r>
          </w:p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FB7BC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FB7BC"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FB7BC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FB7BC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Clave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06BFC" w:rsidRPr="00006BFC" w:rsidTr="00006BF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FB7BC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C     a     u     s     a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C.I.E.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Casos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Tasa </w:t>
            </w: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s-ES"/>
              </w:rPr>
              <w:t>1/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%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FB7BC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10a. Rev.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FB7BC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FB7BC"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FB7BC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B7BC"/>
            <w:noWrap/>
            <w:vAlign w:val="center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Total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A00-Z99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2,679,027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33395.25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100.00</w:t>
            </w:r>
          </w:p>
        </w:tc>
      </w:tr>
      <w:tr w:rsidR="00006BFC" w:rsidRPr="00006BFC" w:rsidTr="00006BF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Infecciones respiratorias agudas altas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J00-J06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1,451,819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18097.56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54.19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Enfermedades infecciosas intestinales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A00-A09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290,640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3622.95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10.85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Infección de vías urinarias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N30, N34, N39.0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248,230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3094.30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9.27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Úlceras, gastritis y duodenitis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K25-K29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89,179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1111.66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3.33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 xml:space="preserve">Gingivitis y enfermedades </w:t>
            </w:r>
            <w:proofErr w:type="spellStart"/>
            <w:r w:rsidRPr="00006BFC">
              <w:rPr>
                <w:rFonts w:ascii="Calibri" w:eastAsia="Times New Roman" w:hAnsi="Calibri" w:cs="Times New Roman"/>
                <w:lang w:eastAsia="es-ES"/>
              </w:rPr>
              <w:t>periodontales</w:t>
            </w:r>
            <w:proofErr w:type="spellEnd"/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K05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70,340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876.82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2.63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Conjuntivitis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H10.0 B30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57,102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711.80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2.13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Intoxicación por picadura de alacrán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T63.2, X22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51,264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639.03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1.91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Obesidad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E66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41,933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522.71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1.57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Otitis media aguda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H65.0-H65.1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36,306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452.57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1.36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Hipertensión arterial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I10-I15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35,948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448.11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1.34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 xml:space="preserve">Diabetes </w:t>
            </w:r>
            <w:proofErr w:type="spellStart"/>
            <w:r w:rsidRPr="00006BFC">
              <w:rPr>
                <w:rFonts w:ascii="Calibri" w:eastAsia="Times New Roman" w:hAnsi="Calibri" w:cs="Times New Roman"/>
                <w:lang w:eastAsia="es-ES"/>
              </w:rPr>
              <w:t>mellitus</w:t>
            </w:r>
            <w:proofErr w:type="spellEnd"/>
            <w:r w:rsidRPr="00006BFC">
              <w:rPr>
                <w:rFonts w:ascii="Calibri" w:eastAsia="Times New Roman" w:hAnsi="Calibri" w:cs="Times New Roman"/>
                <w:lang w:eastAsia="es-ES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E10-E14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25,545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318.43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0.95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Neumonías y bronconeumonías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J12-J18 excepto J18.2, J13 y J14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23,274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290.12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0.87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Asma y estado asmático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J45, J46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21,408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266.86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0.80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proofErr w:type="spellStart"/>
            <w:r w:rsidRPr="00006BFC">
              <w:rPr>
                <w:rFonts w:ascii="Calibri" w:eastAsia="Times New Roman" w:hAnsi="Calibri" w:cs="Times New Roman"/>
                <w:lang w:eastAsia="es-ES"/>
              </w:rPr>
              <w:t>Vulvovaginitis</w:t>
            </w:r>
            <w:proofErr w:type="spellEnd"/>
            <w:r w:rsidRPr="00006BFC">
              <w:rPr>
                <w:rFonts w:ascii="Calibri" w:eastAsia="Times New Roman" w:hAnsi="Calibri" w:cs="Times New Roman"/>
                <w:lang w:eastAsia="es-ES"/>
              </w:rPr>
              <w:t xml:space="preserve"> aguda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N76.0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17,761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221.40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0.66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Insuficiencia venosa periférica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I87.2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14,234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177.43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0.53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Influenza estacional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J10- J11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12,071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150.47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0.45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Quemaduras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T20-T32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11,901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148.35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0.44</w:t>
            </w:r>
          </w:p>
        </w:tc>
      </w:tr>
      <w:tr w:rsidR="00006BFC" w:rsidRPr="00006BFC" w:rsidTr="00006BFC">
        <w:trPr>
          <w:trHeight w:val="17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Accidentes de trafico de vehículo de motor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V02-V04 (.1, .9), V09.2-V09.3, V09.9, V12-V14 (.3-.9), V19.4-V19.6, V20-V28 (.3-.9), V29-V79 (.4-.9), V80.3-V80.5, V81.1, V82.1, V83-V86 (.0-.3), V87.0-V87.8, V89.2, V89.9 , Y85.0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10,923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136.16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0.41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Hiperplasia de la próstata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N40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10,220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127.40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0.38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Varicela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B01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9,922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123.68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0.37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06BFC" w:rsidRPr="00006BFC" w:rsidTr="00006BF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Las demás causas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lang w:eastAsia="es-ES"/>
              </w:rPr>
              <w:t>149,007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1857.44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5.56</w:t>
            </w:r>
          </w:p>
        </w:tc>
      </w:tr>
      <w:tr w:rsidR="00006BFC" w:rsidRPr="00006BFC" w:rsidTr="00006BF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E9CDD3"/>
            <w:hideMark/>
          </w:tcPr>
          <w:p w:rsidR="00006BFC" w:rsidRPr="00006BFC" w:rsidRDefault="00006BFC" w:rsidP="00006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06BF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006BFC" w:rsidRDefault="00006BFC"/>
    <w:tbl>
      <w:tblPr>
        <w:tblW w:w="85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34"/>
      </w:tblGrid>
      <w:tr w:rsidR="00006BFC" w:rsidRPr="00006BFC" w:rsidTr="00006BFC">
        <w:trPr>
          <w:trHeight w:val="30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006BFC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FUENTE: SUIVE (Sistema Único de Información para la Vigilancia Epidemiológica) 2016</w:t>
            </w:r>
          </w:p>
        </w:tc>
      </w:tr>
      <w:tr w:rsidR="00006BFC" w:rsidRPr="00006BFC" w:rsidTr="00006BFC">
        <w:trPr>
          <w:trHeight w:val="30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006BFC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1/ Tasa por 100,000 habitantes</w:t>
            </w:r>
          </w:p>
        </w:tc>
      </w:tr>
      <w:tr w:rsidR="00006BFC" w:rsidRPr="00006BFC" w:rsidTr="00006BFC">
        <w:trPr>
          <w:trHeight w:val="30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006BFC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Nota: En base a los Nuevos Criterios de agrupación para las principales causas y a los Acuerdos de selección de las principales causas del sector salud, </w:t>
            </w:r>
          </w:p>
        </w:tc>
      </w:tr>
      <w:tr w:rsidR="00006BFC" w:rsidRPr="00006BFC" w:rsidTr="00006BFC">
        <w:trPr>
          <w:trHeight w:val="30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006BFC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y la lista Mexicana para la selección de Principales Causas (CIE165 Agrupaciones) vigente 02/2005</w:t>
            </w:r>
          </w:p>
        </w:tc>
      </w:tr>
      <w:tr w:rsidR="00006BFC" w:rsidRPr="00006BFC" w:rsidTr="00006BFC">
        <w:trPr>
          <w:trHeight w:val="25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ES"/>
              </w:rPr>
            </w:pPr>
            <w:r w:rsidRPr="00006BF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ES"/>
              </w:rPr>
              <w:t>Dirección de Planeación</w:t>
            </w:r>
          </w:p>
        </w:tc>
      </w:tr>
      <w:tr w:rsidR="00006BFC" w:rsidRPr="00006BFC" w:rsidTr="00006BFC">
        <w:trPr>
          <w:trHeight w:val="25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ES"/>
              </w:rPr>
            </w:pPr>
            <w:r w:rsidRPr="00006BF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ES"/>
              </w:rPr>
              <w:t>Departamento de Estadística</w:t>
            </w:r>
          </w:p>
        </w:tc>
      </w:tr>
      <w:tr w:rsidR="00006BFC" w:rsidRPr="00006BFC" w:rsidTr="00006BFC">
        <w:trPr>
          <w:trHeight w:val="30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FC" w:rsidRPr="00006BFC" w:rsidRDefault="00006BFC" w:rsidP="00006B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ES"/>
              </w:rPr>
            </w:pPr>
            <w:r w:rsidRPr="00006BF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ES"/>
              </w:rPr>
              <w:t xml:space="preserve">Coordinación de Información Estadística para la Vigilancia Epidemiológica </w:t>
            </w:r>
          </w:p>
        </w:tc>
      </w:tr>
    </w:tbl>
    <w:p w:rsidR="00006BFC" w:rsidRDefault="00006BFC" w:rsidP="00006BFC"/>
    <w:sectPr w:rsidR="00006BFC" w:rsidSect="00006B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BFC"/>
    <w:rsid w:val="00006BFC"/>
    <w:rsid w:val="002C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1883</Characters>
  <Application>Microsoft Office Word</Application>
  <DocSecurity>0</DocSecurity>
  <Lines>15</Lines>
  <Paragraphs>4</Paragraphs>
  <ScaleCrop>false</ScaleCrop>
  <Company>Gobierno del Estado de Jalisco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de Salud Jalisco</dc:creator>
  <cp:keywords/>
  <dc:description/>
  <cp:lastModifiedBy>Servicios de Salud Jalisco</cp:lastModifiedBy>
  <cp:revision>2</cp:revision>
  <dcterms:created xsi:type="dcterms:W3CDTF">2019-05-03T21:11:00Z</dcterms:created>
  <dcterms:modified xsi:type="dcterms:W3CDTF">2019-05-03T21:14:00Z</dcterms:modified>
</cp:coreProperties>
</file>